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182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>В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соответствии с положением статьи 18.1. </w:t>
      </w:r>
      <w:r>
        <w:rPr>
          <w:rFonts w:hint="default" w:ascii="Arial" w:hAnsi="Arial" w:cs="Arial"/>
          <w:b/>
          <w:bCs/>
        </w:rPr>
        <w:t>Федеральн</w:t>
      </w:r>
      <w:r>
        <w:rPr>
          <w:rFonts w:hint="default" w:ascii="Arial" w:hAnsi="Arial" w:cs="Arial"/>
          <w:b/>
          <w:bCs/>
          <w:lang w:val="ru-RU"/>
        </w:rPr>
        <w:t>ого</w:t>
      </w:r>
      <w:r>
        <w:rPr>
          <w:rFonts w:hint="default" w:ascii="Arial" w:hAnsi="Arial" w:cs="Arial"/>
          <w:b/>
          <w:bCs/>
        </w:rPr>
        <w:t xml:space="preserve"> закон</w:t>
      </w:r>
      <w:r>
        <w:rPr>
          <w:rFonts w:hint="default" w:ascii="Arial" w:hAnsi="Arial" w:cs="Arial"/>
          <w:b/>
          <w:bCs/>
          <w:lang w:val="ru-RU"/>
        </w:rPr>
        <w:t>а</w:t>
      </w:r>
      <w:r>
        <w:rPr>
          <w:rFonts w:hint="default" w:ascii="Arial" w:hAnsi="Arial" w:cs="Arial"/>
          <w:b/>
          <w:bCs/>
        </w:rPr>
        <w:t xml:space="preserve"> от 27.07.2006 N 152-ФЗ</w:t>
      </w:r>
      <w:r>
        <w:rPr>
          <w:rFonts w:hint="default" w:ascii="Arial" w:hAnsi="Arial" w:cs="Arial"/>
          <w:b/>
          <w:bCs/>
          <w:lang w:val="ru-RU"/>
        </w:rPr>
        <w:t xml:space="preserve"> </w:t>
      </w:r>
      <w:r>
        <w:rPr>
          <w:rFonts w:hint="default" w:ascii="Arial" w:hAnsi="Arial" w:cs="Arial"/>
          <w:b/>
          <w:bCs/>
        </w:rPr>
        <w:t xml:space="preserve">(ред. от 24.06.2025) </w:t>
      </w:r>
      <w:r>
        <w:rPr>
          <w:rFonts w:hint="default" w:ascii="Arial" w:hAnsi="Arial" w:cs="Arial"/>
          <w:b/>
          <w:bCs/>
          <w:lang w:val="ru-RU"/>
        </w:rPr>
        <w:t>«</w:t>
      </w:r>
      <w:r>
        <w:rPr>
          <w:rFonts w:hint="default" w:ascii="Arial" w:hAnsi="Arial" w:cs="Arial"/>
          <w:b/>
          <w:bCs/>
        </w:rPr>
        <w:t>О персональных данных</w:t>
      </w:r>
      <w:r>
        <w:rPr>
          <w:rFonts w:hint="default" w:ascii="Arial" w:hAnsi="Arial" w:cs="Arial"/>
          <w:b/>
          <w:bCs/>
          <w:lang w:val="ru-RU"/>
        </w:rPr>
        <w:t>»</w:t>
      </w:r>
      <w:r>
        <w:rPr>
          <w:rFonts w:hint="default" w:ascii="Arial" w:hAnsi="Arial" w:cs="Arial"/>
          <w:b/>
          <w:bCs/>
        </w:rPr>
        <w:t xml:space="preserve"> </w:t>
      </w:r>
      <w:r>
        <w:rPr>
          <w:rFonts w:hint="default" w:ascii="Arial" w:hAnsi="Arial" w:cs="Arial"/>
          <w:b/>
          <w:bCs/>
          <w:lang w:val="ru-RU"/>
        </w:rPr>
        <w:t>(</w:t>
      </w:r>
      <w:bookmarkStart w:id="1" w:name="_GoBack"/>
      <w:bookmarkEnd w:id="1"/>
      <w:r>
        <w:rPr>
          <w:rFonts w:hint="default" w:ascii="Arial" w:hAnsi="Arial" w:cs="Arial"/>
          <w:b/>
          <w:bCs/>
          <w:sz w:val="24"/>
          <w:szCs w:val="24"/>
        </w:rPr>
        <w:t>Меры, направленные на обеспечение выполнения оператором обязанностей, предусмотренных настоящим Федеральным законом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):</w:t>
      </w:r>
    </w:p>
    <w:p w14:paraId="417F011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  <w:rPr>
          <w:rFonts w:hint="default" w:ascii="Arial" w:hAnsi="Arial" w:cs="Arial"/>
          <w:b/>
          <w:bCs/>
          <w:sz w:val="24"/>
          <w:szCs w:val="24"/>
          <w:lang w:val="ru-RU"/>
        </w:rPr>
      </w:pPr>
    </w:p>
    <w:p w14:paraId="1D08F6C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bookmarkStart w:id="0" w:name="p4"/>
      <w:bookmarkEnd w:id="0"/>
      <w:r>
        <w:t xml:space="preserve">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 </w:t>
      </w:r>
    </w:p>
    <w:p w14:paraId="2E21095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1) назначение оператором, являющимся юридическим лицом, ответственного за организацию обработки персональных данных;</w:t>
      </w:r>
    </w:p>
    <w:p w14:paraId="38D9116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rPr>
          <w:u w:val="single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  <w:r>
        <w:t xml:space="preserve">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 </w:t>
      </w:r>
    </w:p>
    <w:p w14:paraId="7849537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r>
        <w:rPr>
          <w:color w:val="0000FF"/>
          <w:u w:val="none"/>
        </w:rPr>
        <w:fldChar w:fldCharType="begin"/>
      </w:r>
      <w:r>
        <w:rPr>
          <w:color w:val="0000FF"/>
          <w:u w:val="none"/>
        </w:rPr>
        <w:instrText xml:space="preserve"> HYPERLINK "https://login.consultant.ru/link/?req=doc&amp;base=LAW&amp;n=499769&amp;dst=100368&amp;field=134&amp;date=14.04.2026&amp;demo=2" </w:instrText>
      </w:r>
      <w:r>
        <w:rPr>
          <w:color w:val="0000FF"/>
          <w:u w:val="none"/>
        </w:rPr>
        <w:fldChar w:fldCharType="separate"/>
      </w:r>
      <w:r>
        <w:rPr>
          <w:rStyle w:val="4"/>
          <w:color w:val="0000FF"/>
          <w:u w:val="none"/>
        </w:rPr>
        <w:t>статьей 19</w:t>
      </w:r>
      <w:r>
        <w:rPr>
          <w:color w:val="0000FF"/>
          <w:u w:val="none"/>
        </w:rPr>
        <w:fldChar w:fldCharType="end"/>
      </w:r>
      <w:r>
        <w:t xml:space="preserve"> настоящего Федерального закона; </w:t>
      </w:r>
    </w:p>
    <w:p w14:paraId="77970D2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 </w:t>
      </w:r>
    </w:p>
    <w:p w14:paraId="5FCB55C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5) оценка вреда в соответствии с </w:t>
      </w:r>
      <w:r>
        <w:rPr>
          <w:color w:val="0000FF"/>
          <w:u w:val="none"/>
        </w:rPr>
        <w:fldChar w:fldCharType="begin"/>
      </w:r>
      <w:r>
        <w:rPr>
          <w:color w:val="0000FF"/>
          <w:u w:val="none"/>
        </w:rPr>
        <w:instrText xml:space="preserve"> HYPERLINK "https://login.consultant.ru/link/?req=doc&amp;base=LAW&amp;n=432555&amp;dst=100011&amp;field=134&amp;date=14.04.2026&amp;demo=2" </w:instrText>
      </w:r>
      <w:r>
        <w:rPr>
          <w:color w:val="0000FF"/>
          <w:u w:val="none"/>
        </w:rPr>
        <w:fldChar w:fldCharType="separate"/>
      </w:r>
      <w:r>
        <w:rPr>
          <w:rStyle w:val="4"/>
          <w:color w:val="0000FF"/>
          <w:u w:val="none"/>
        </w:rPr>
        <w:t>требованиями</w:t>
      </w:r>
      <w:r>
        <w:rPr>
          <w:color w:val="0000FF"/>
          <w:u w:val="none"/>
        </w:rPr>
        <w:fldChar w:fldCharType="end"/>
      </w:r>
      <w:r>
        <w:t xml:space="preserve"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 </w:t>
      </w:r>
    </w:p>
    <w:p w14:paraId="4C0BD89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 </w:t>
      </w:r>
    </w:p>
    <w:p w14:paraId="26A2BE5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b w:val="0"/>
          <w:bCs w:val="0"/>
          <w:u w:val="single"/>
        </w:rPr>
        <w:t xml:space="preserve">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</w:t>
      </w:r>
      <w:r>
        <w:rPr>
          <w:b/>
          <w:bCs/>
          <w:u w:val="single"/>
        </w:rPr>
        <w:t>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14:paraId="568A04A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Правительство Российской Федерации устанавливает </w:t>
      </w:r>
      <w:r>
        <w:rPr>
          <w:color w:val="0000FF"/>
          <w:u w:val="none"/>
        </w:rPr>
        <w:fldChar w:fldCharType="begin"/>
      </w:r>
      <w:r>
        <w:rPr>
          <w:color w:val="0000FF"/>
          <w:u w:val="none"/>
        </w:rPr>
        <w:instrText xml:space="preserve"> HYPERLINK "https://login.consultant.ru/link/?req=doc&amp;base=LAW&amp;n=322830&amp;dst=100008&amp;field=134&amp;date=14.04.2026&amp;demo=2" </w:instrText>
      </w:r>
      <w:r>
        <w:rPr>
          <w:color w:val="0000FF"/>
          <w:u w:val="none"/>
        </w:rPr>
        <w:fldChar w:fldCharType="separate"/>
      </w:r>
      <w:r>
        <w:rPr>
          <w:rStyle w:val="4"/>
          <w:color w:val="0000FF"/>
          <w:u w:val="none"/>
        </w:rPr>
        <w:t>перечень</w:t>
      </w:r>
      <w:r>
        <w:rPr>
          <w:color w:val="0000FF"/>
          <w:u w:val="none"/>
        </w:rPr>
        <w:fldChar w:fldCharType="end"/>
      </w:r>
      <w:r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 </w:t>
      </w:r>
    </w:p>
    <w:p w14:paraId="0A36AE0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Оператор обязан представить документы и локальные акты, указанные в </w:t>
      </w:r>
      <w:r>
        <w:rPr>
          <w:color w:val="0000FF"/>
          <w:u w:val="none"/>
        </w:rPr>
        <w:fldChar w:fldCharType="begin"/>
      </w:r>
      <w:r>
        <w:rPr>
          <w:color w:val="0000FF"/>
          <w:u w:val="none"/>
        </w:rPr>
        <w:instrText xml:space="preserve"> HYPERLINK "" \l "p4" </w:instrText>
      </w:r>
      <w:r>
        <w:rPr>
          <w:color w:val="0000FF"/>
          <w:u w:val="none"/>
        </w:rPr>
        <w:fldChar w:fldCharType="separate"/>
      </w:r>
      <w:r>
        <w:rPr>
          <w:rStyle w:val="4"/>
          <w:color w:val="0000FF"/>
          <w:u w:val="none"/>
        </w:rPr>
        <w:t>части 1</w:t>
      </w:r>
      <w:r>
        <w:rPr>
          <w:color w:val="0000FF"/>
          <w:u w:val="none"/>
        </w:rPr>
        <w:fldChar w:fldCharType="end"/>
      </w:r>
      <w:r>
        <w:t xml:space="preserve"> настоящей статьи, и (или) иным образом подтвердить принятие мер, указанных в </w:t>
      </w:r>
      <w:r>
        <w:rPr>
          <w:color w:val="0000FF"/>
          <w:u w:val="none"/>
        </w:rPr>
        <w:fldChar w:fldCharType="begin"/>
      </w:r>
      <w:r>
        <w:rPr>
          <w:color w:val="0000FF"/>
          <w:u w:val="none"/>
        </w:rPr>
        <w:instrText xml:space="preserve"> HYPERLINK "" \l "p4" </w:instrText>
      </w:r>
      <w:r>
        <w:rPr>
          <w:color w:val="0000FF"/>
          <w:u w:val="none"/>
        </w:rPr>
        <w:fldChar w:fldCharType="separate"/>
      </w:r>
      <w:r>
        <w:rPr>
          <w:rStyle w:val="4"/>
          <w:color w:val="0000FF"/>
          <w:u w:val="none"/>
        </w:rPr>
        <w:t>части 1</w:t>
      </w:r>
      <w:r>
        <w:rPr>
          <w:color w:val="0000FF"/>
          <w:u w:val="none"/>
        </w:rPr>
        <w:fldChar w:fldCharType="end"/>
      </w:r>
      <w:r>
        <w:t xml:space="preserve"> настоящей статьи, по запросу уполномоченного органа по защите прав субъектов персональных данных. </w:t>
      </w:r>
    </w:p>
    <w:p w14:paraId="24384CE0">
      <w:pPr>
        <w:rPr>
          <w:rFonts w:hint="default"/>
          <w:lang w:val="ru-RU"/>
        </w:rPr>
      </w:pPr>
    </w:p>
    <w:sectPr>
      <w:footerReference r:id="rId3" w:type="default"/>
      <w:pgSz w:w="11906" w:h="16838"/>
      <w:pgMar w:top="840" w:right="9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03477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5D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25D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F4839"/>
    <w:multiLevelType w:val="singleLevel"/>
    <w:tmpl w:val="C44F48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2026-04-14T07:05:42Z</dcterms:created>
  <dc:creator>мастер</dc:creator>
  <cp:lastModifiedBy>Ingvar P</cp:lastModifiedBy>
  <dcterms:modified xsi:type="dcterms:W3CDTF">2026-04-14T09:04:53Z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8D24B5F0418C4D5683E0FA1780E7F7DE_13</vt:lpwstr>
  </property>
</Properties>
</file>